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77" w:rsidRDefault="005217BA" w:rsidP="005217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Анашенская СОШ №1</w:t>
      </w:r>
    </w:p>
    <w:p w:rsidR="005217BA" w:rsidRDefault="005217BA" w:rsidP="005217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 о результатах КДР (ГП) в 2023 году</w:t>
      </w:r>
    </w:p>
    <w:p w:rsidR="005217BA" w:rsidRDefault="005217BA" w:rsidP="00522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диагностике «Групповой проект» для 4 класса приняли участие  16 </w:t>
      </w:r>
      <w:r w:rsidR="00AA2A53">
        <w:rPr>
          <w:rFonts w:ascii="Times New Roman" w:hAnsi="Times New Roman" w:cs="Times New Roman"/>
          <w:sz w:val="28"/>
          <w:szCs w:val="28"/>
        </w:rPr>
        <w:t xml:space="preserve">(отсутствовал 1 чел)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начальной школы. Процедура проходила с соблюдением основных требований к проведению процедуры (приказ № </w:t>
      </w:r>
      <w:r w:rsidR="005228C8">
        <w:rPr>
          <w:rFonts w:ascii="Times New Roman" w:hAnsi="Times New Roman" w:cs="Times New Roman"/>
          <w:sz w:val="28"/>
          <w:szCs w:val="28"/>
        </w:rPr>
        <w:t>28 от 27.01.</w:t>
      </w:r>
      <w:r w:rsidR="002915A2">
        <w:rPr>
          <w:rFonts w:ascii="Times New Roman" w:hAnsi="Times New Roman" w:cs="Times New Roman"/>
          <w:sz w:val="28"/>
          <w:szCs w:val="28"/>
        </w:rPr>
        <w:t>2023года</w:t>
      </w:r>
      <w:r w:rsidR="005228C8">
        <w:rPr>
          <w:rFonts w:ascii="Times New Roman" w:hAnsi="Times New Roman" w:cs="Times New Roman"/>
          <w:sz w:val="28"/>
          <w:szCs w:val="28"/>
        </w:rPr>
        <w:t xml:space="preserve"> «О проведении диагностической процедуры «Групповой проект»</w:t>
      </w:r>
      <w:r w:rsidR="002915A2">
        <w:rPr>
          <w:rFonts w:ascii="Times New Roman" w:hAnsi="Times New Roman" w:cs="Times New Roman"/>
          <w:sz w:val="28"/>
          <w:szCs w:val="28"/>
        </w:rPr>
        <w:t>). В  момент проведения КДР4 ГП присутствовали муниципальный наблюдатель</w:t>
      </w:r>
      <w:r>
        <w:rPr>
          <w:rFonts w:ascii="Times New Roman" w:hAnsi="Times New Roman" w:cs="Times New Roman"/>
          <w:sz w:val="28"/>
          <w:szCs w:val="28"/>
        </w:rPr>
        <w:t>. На основании протокола муниципального наблюдателя процедура КДР 4ГП прошла без замечаний.</w:t>
      </w:r>
    </w:p>
    <w:p w:rsidR="005217BA" w:rsidRDefault="005228C8" w:rsidP="0052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класса.</w:t>
      </w:r>
    </w:p>
    <w:tbl>
      <w:tblPr>
        <w:tblStyle w:val="a3"/>
        <w:tblW w:w="0" w:type="auto"/>
        <w:tblLook w:val="04A0"/>
      </w:tblPr>
      <w:tblGrid>
        <w:gridCol w:w="3648"/>
        <w:gridCol w:w="3293"/>
        <w:gridCol w:w="2453"/>
      </w:tblGrid>
      <w:tr w:rsidR="003D4F65" w:rsidTr="00DB18F1">
        <w:trPr>
          <w:trHeight w:val="1630"/>
        </w:trPr>
        <w:tc>
          <w:tcPr>
            <w:tcW w:w="3648" w:type="dxa"/>
          </w:tcPr>
          <w:p w:rsidR="003D4F65" w:rsidRDefault="003D4F65" w:rsidP="0052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основной образовательной программе</w:t>
            </w:r>
          </w:p>
        </w:tc>
        <w:tc>
          <w:tcPr>
            <w:tcW w:w="3293" w:type="dxa"/>
          </w:tcPr>
          <w:p w:rsidR="003D4F65" w:rsidRDefault="003D4F65" w:rsidP="0052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АООП (ЗПР)</w:t>
            </w:r>
          </w:p>
        </w:tc>
        <w:tc>
          <w:tcPr>
            <w:tcW w:w="2453" w:type="dxa"/>
          </w:tcPr>
          <w:p w:rsidR="003D4F65" w:rsidRDefault="003D4F65" w:rsidP="0052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 НОДА</w:t>
            </w:r>
          </w:p>
        </w:tc>
      </w:tr>
      <w:tr w:rsidR="003D4F65" w:rsidTr="00DB18F1">
        <w:trPr>
          <w:trHeight w:val="335"/>
        </w:trPr>
        <w:tc>
          <w:tcPr>
            <w:tcW w:w="3648" w:type="dxa"/>
          </w:tcPr>
          <w:p w:rsidR="003D4F65" w:rsidRDefault="003D4F65" w:rsidP="0052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10(62%)</w:t>
            </w:r>
          </w:p>
        </w:tc>
        <w:tc>
          <w:tcPr>
            <w:tcW w:w="3293" w:type="dxa"/>
          </w:tcPr>
          <w:p w:rsidR="003D4F65" w:rsidRDefault="003D4F65" w:rsidP="0052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(30%)</w:t>
            </w:r>
          </w:p>
        </w:tc>
        <w:tc>
          <w:tcPr>
            <w:tcW w:w="2453" w:type="dxa"/>
          </w:tcPr>
          <w:p w:rsidR="003D4F65" w:rsidRDefault="003D4F65" w:rsidP="0052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1(6%).</w:t>
            </w:r>
          </w:p>
        </w:tc>
      </w:tr>
    </w:tbl>
    <w:p w:rsidR="003D4F65" w:rsidRDefault="003D4F65" w:rsidP="0052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7BA" w:rsidRDefault="00AA2A53" w:rsidP="00522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краткого отчета  «Результаты выполнения  группового проекта по классу в 2022-2023 году» ЦОКО можно сделать вывод, что все показатели ниже краевого уровня.</w:t>
      </w:r>
    </w:p>
    <w:tbl>
      <w:tblPr>
        <w:tblW w:w="9253" w:type="dxa"/>
        <w:tblInd w:w="98" w:type="dxa"/>
        <w:tblLook w:val="04A0"/>
      </w:tblPr>
      <w:tblGrid>
        <w:gridCol w:w="2650"/>
        <w:gridCol w:w="3437"/>
        <w:gridCol w:w="1583"/>
        <w:gridCol w:w="1583"/>
      </w:tblGrid>
      <w:tr w:rsidR="00AA2A53" w:rsidRPr="00AA2A53" w:rsidTr="00DB18F1">
        <w:trPr>
          <w:trHeight w:val="686"/>
        </w:trPr>
        <w:tc>
          <w:tcPr>
            <w:tcW w:w="6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Групповой проект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Среднее значение по классу (%)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Среднее значение по краю (%)</w:t>
            </w:r>
          </w:p>
        </w:tc>
      </w:tr>
      <w:tr w:rsidR="00AA2A53" w:rsidRPr="00AA2A53" w:rsidTr="00DB18F1">
        <w:trPr>
          <w:trHeight w:val="301"/>
        </w:trPr>
        <w:tc>
          <w:tcPr>
            <w:tcW w:w="26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Успешность выполнения</w:t>
            </w: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(% от максимального балла)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Весь проект (общий балл)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D5"/>
            <w:r w:rsidRPr="00AA2A53">
              <w:rPr>
                <w:rFonts w:ascii="Times New Roman" w:eastAsia="Times New Roman" w:hAnsi="Times New Roman" w:cs="Times New Roman"/>
                <w:color w:val="000000"/>
              </w:rPr>
              <w:t>69,79%</w:t>
            </w:r>
            <w:bookmarkEnd w:id="0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76,52%</w:t>
            </w:r>
          </w:p>
        </w:tc>
      </w:tr>
      <w:tr w:rsidR="00AA2A53" w:rsidRPr="00AA2A53" w:rsidTr="00DB18F1">
        <w:trPr>
          <w:trHeight w:val="456"/>
        </w:trPr>
        <w:tc>
          <w:tcPr>
            <w:tcW w:w="26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 действия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D6"/>
            <w:r w:rsidRPr="00AA2A53">
              <w:rPr>
                <w:rFonts w:ascii="Times New Roman" w:eastAsia="Times New Roman" w:hAnsi="Times New Roman" w:cs="Times New Roman"/>
                <w:color w:val="000000"/>
              </w:rPr>
              <w:t>63,13%</w:t>
            </w:r>
            <w:bookmarkEnd w:id="1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71,37%</w:t>
            </w:r>
          </w:p>
        </w:tc>
      </w:tr>
      <w:tr w:rsidR="00AA2A53" w:rsidRPr="00AA2A53" w:rsidTr="00DB18F1">
        <w:trPr>
          <w:trHeight w:val="400"/>
        </w:trPr>
        <w:tc>
          <w:tcPr>
            <w:tcW w:w="26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 действия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D7"/>
            <w:r w:rsidRPr="00AA2A53">
              <w:rPr>
                <w:rFonts w:ascii="Times New Roman" w:eastAsia="Times New Roman" w:hAnsi="Times New Roman" w:cs="Times New Roman"/>
                <w:color w:val="000000"/>
              </w:rPr>
              <w:t>78,13%</w:t>
            </w:r>
            <w:bookmarkEnd w:id="2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82,97%</w:t>
            </w:r>
          </w:p>
        </w:tc>
      </w:tr>
      <w:tr w:rsidR="00AA2A53" w:rsidRPr="00AA2A53" w:rsidTr="00DB18F1">
        <w:trPr>
          <w:trHeight w:val="1186"/>
        </w:trPr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Уровни достижений</w:t>
            </w: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(% обучающихся)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Достигли базового уровня (включая повышенный)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RANGE!D8"/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87,50%</w:t>
            </w:r>
            <w:bookmarkEnd w:id="3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96,19%</w:t>
            </w:r>
          </w:p>
        </w:tc>
      </w:tr>
      <w:tr w:rsidR="00AA2A53" w:rsidRPr="00AA2A53" w:rsidTr="00DB18F1">
        <w:trPr>
          <w:trHeight w:val="471"/>
        </w:trPr>
        <w:tc>
          <w:tcPr>
            <w:tcW w:w="2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Повышенный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RANGE!D9"/>
            <w:r w:rsidRPr="00AA2A53">
              <w:rPr>
                <w:rFonts w:ascii="Times New Roman" w:eastAsia="Times New Roman" w:hAnsi="Times New Roman" w:cs="Times New Roman"/>
                <w:color w:val="000000"/>
              </w:rPr>
              <w:t>37,50%</w:t>
            </w:r>
            <w:bookmarkEnd w:id="4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46,29%</w:t>
            </w:r>
          </w:p>
        </w:tc>
      </w:tr>
    </w:tbl>
    <w:p w:rsidR="00AA2A53" w:rsidRDefault="00AA2A53" w:rsidP="0052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7BA" w:rsidRDefault="00AA2A53" w:rsidP="0052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достижений.</w:t>
      </w:r>
    </w:p>
    <w:tbl>
      <w:tblPr>
        <w:tblW w:w="9178" w:type="dxa"/>
        <w:tblInd w:w="98" w:type="dxa"/>
        <w:tblLook w:val="04A0"/>
      </w:tblPr>
      <w:tblGrid>
        <w:gridCol w:w="2447"/>
        <w:gridCol w:w="2185"/>
        <w:gridCol w:w="2387"/>
        <w:gridCol w:w="2159"/>
      </w:tblGrid>
      <w:tr w:rsidR="00AA2A53" w:rsidRPr="00AA2A53" w:rsidTr="00DB18F1">
        <w:trPr>
          <w:trHeight w:val="550"/>
        </w:trPr>
        <w:tc>
          <w:tcPr>
            <w:tcW w:w="2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Уровни достижений (% обучающихся, результаты которых соответствуют данному уровню достижений)</w:t>
            </w:r>
          </w:p>
        </w:tc>
      </w:tr>
      <w:tr w:rsidR="00AA2A53" w:rsidRPr="00AA2A53" w:rsidTr="00DB18F1">
        <w:trPr>
          <w:trHeight w:val="268"/>
        </w:trPr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Ниже базового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Повышенный</w:t>
            </w:r>
          </w:p>
        </w:tc>
      </w:tr>
      <w:tr w:rsidR="00AA2A53" w:rsidRPr="00AA2A53" w:rsidTr="00DB18F1">
        <w:trPr>
          <w:trHeight w:val="268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Красноярский край </w:t>
            </w: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(%)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3,81%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49,90%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46,29%</w:t>
            </w:r>
          </w:p>
        </w:tc>
      </w:tr>
      <w:tr w:rsidR="00AA2A53" w:rsidRPr="00AA2A53" w:rsidTr="00DB18F1">
        <w:trPr>
          <w:trHeight w:val="268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Класс (%)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RANGE!B27"/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12,50%</w:t>
            </w:r>
            <w:bookmarkEnd w:id="5"/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RANGE!C27"/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  <w:bookmarkEnd w:id="6"/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RANGE!D27"/>
            <w:r w:rsidRPr="00AA2A53">
              <w:rPr>
                <w:rFonts w:ascii="Times New Roman" w:eastAsia="Times New Roman" w:hAnsi="Times New Roman" w:cs="Times New Roman"/>
                <w:color w:val="000000"/>
              </w:rPr>
              <w:t>37,50%</w:t>
            </w:r>
            <w:bookmarkEnd w:id="7"/>
          </w:p>
        </w:tc>
      </w:tr>
    </w:tbl>
    <w:p w:rsidR="00AA2A53" w:rsidRDefault="00AA2A53" w:rsidP="0052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обучающихся</w:t>
      </w:r>
    </w:p>
    <w:tbl>
      <w:tblPr>
        <w:tblW w:w="6957" w:type="dxa"/>
        <w:tblInd w:w="93" w:type="dxa"/>
        <w:tblLook w:val="04A0"/>
      </w:tblPr>
      <w:tblGrid>
        <w:gridCol w:w="495"/>
        <w:gridCol w:w="2176"/>
        <w:gridCol w:w="981"/>
        <w:gridCol w:w="1480"/>
        <w:gridCol w:w="1908"/>
        <w:gridCol w:w="1012"/>
        <w:gridCol w:w="1426"/>
      </w:tblGrid>
      <w:tr w:rsidR="00AA2A53" w:rsidRPr="00AA2A53" w:rsidTr="00DB18F1">
        <w:trPr>
          <w:trHeight w:val="393"/>
        </w:trPr>
        <w:tc>
          <w:tcPr>
            <w:tcW w:w="695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bottom"/>
            <w:hideMark/>
          </w:tcPr>
          <w:p w:rsidR="00AA2A53" w:rsidRPr="00AA2A53" w:rsidRDefault="00AA2A53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Результаты оценки индивидуальных достижений обучающихся по групповому проекту</w:t>
            </w: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(4 класс, 2022/2023 уч. год)</w:t>
            </w:r>
          </w:p>
        </w:tc>
      </w:tr>
      <w:tr w:rsidR="00AA2A53" w:rsidRPr="00AA2A53" w:rsidTr="00DB18F1">
        <w:trPr>
          <w:trHeight w:val="253"/>
        </w:trPr>
        <w:tc>
          <w:tcPr>
            <w:tcW w:w="695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A53" w:rsidRPr="00AA2A53" w:rsidRDefault="00AA2A53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A2A53" w:rsidRPr="00AA2A53" w:rsidTr="00DB18F1">
        <w:trPr>
          <w:trHeight w:val="29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A53" w:rsidRPr="00AA2A53" w:rsidRDefault="00AA2A53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A53" w:rsidRPr="00AA2A53" w:rsidRDefault="00AA2A53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A53" w:rsidRPr="00AA2A53" w:rsidRDefault="00AA2A53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A53" w:rsidRPr="00AA2A53" w:rsidRDefault="00AA2A53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A53" w:rsidRPr="00AA2A53" w:rsidRDefault="00AA2A53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A53" w:rsidRPr="00AA2A53" w:rsidRDefault="00AA2A53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A53" w:rsidRPr="00AA2A53" w:rsidRDefault="00AA2A53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A2" w:rsidRPr="00AA2A53" w:rsidTr="00DB18F1">
        <w:trPr>
          <w:trHeight w:val="29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15A2" w:rsidRPr="00AA2A53" w:rsidTr="00DB18F1">
        <w:trPr>
          <w:trHeight w:val="702"/>
        </w:trPr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Успешность выполнения заданий по группам умений (% от максимального балла)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личного вклада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достижений</w:t>
            </w:r>
          </w:p>
        </w:tc>
      </w:tr>
      <w:tr w:rsidR="002915A2" w:rsidRPr="00AA2A53" w:rsidTr="00DB18F1">
        <w:trPr>
          <w:trHeight w:val="800"/>
        </w:trPr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Весь проект (общий балл)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Регулятивные действия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2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Коммуникативные действия</w:t>
            </w: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27,78%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ниже базового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83,33%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70,00%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88,89%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90,00%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87,50%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72,22%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70,00%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75,00%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83,33%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87,50%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55,56%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62,50%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88,89%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90,00%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87,50%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66,67%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87,50%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38,89%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20,00%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62,50%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ниже базового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83,33%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90,00%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75,00%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50,00%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83,33%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87,50%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44,44%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30,00%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62,50%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77,78%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70,00%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87,50%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</w:tr>
      <w:tr w:rsidR="002915A2" w:rsidRPr="00AA2A53" w:rsidTr="00DB18F1">
        <w:trPr>
          <w:trHeight w:val="2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72,22%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60,00%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87,50%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5A2" w:rsidRPr="00AA2A53" w:rsidRDefault="002915A2" w:rsidP="00A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A53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</w:tr>
    </w:tbl>
    <w:p w:rsidR="00477DDF" w:rsidRDefault="002915A2" w:rsidP="00DB1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краткого отчета ЦОКО можно сделать вывод, что 37%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показали повышенный уровень, 50%- базовый уровень, 12% - ниже базового уровня.  В ходе выполнения группового проекта для каждого ученика фиксировались его регулятивные и коммуникативные действия. При оценке освоения регулятивных умений учитывались: участие в целеполагании, в планировании, в распределении функций и их выполнение.  Высокий процент </w:t>
      </w:r>
      <w:r w:rsidR="00353503">
        <w:rPr>
          <w:rFonts w:ascii="Times New Roman" w:hAnsi="Times New Roman" w:cs="Times New Roman"/>
          <w:sz w:val="28"/>
          <w:szCs w:val="28"/>
        </w:rPr>
        <w:t xml:space="preserve">(свыше 70%) </w:t>
      </w:r>
      <w:r>
        <w:rPr>
          <w:rFonts w:ascii="Times New Roman" w:hAnsi="Times New Roman" w:cs="Times New Roman"/>
          <w:sz w:val="28"/>
          <w:szCs w:val="28"/>
        </w:rPr>
        <w:t>сформированности данных умений</w:t>
      </w:r>
      <w:r w:rsidR="00353503">
        <w:rPr>
          <w:rFonts w:ascii="Times New Roman" w:hAnsi="Times New Roman" w:cs="Times New Roman"/>
          <w:sz w:val="28"/>
          <w:szCs w:val="28"/>
        </w:rPr>
        <w:t xml:space="preserve"> показали 56% обучающихся (9чел), на низком уровне 28% обучающихся (3чел.). При оценке  освоения коммуникативных умений учитывались: участие в презентации, активность\инициативность ученика при взаимодействии в </w:t>
      </w:r>
      <w:r w:rsidR="00353503">
        <w:rPr>
          <w:rFonts w:ascii="Times New Roman" w:hAnsi="Times New Roman" w:cs="Times New Roman"/>
          <w:sz w:val="28"/>
          <w:szCs w:val="28"/>
        </w:rPr>
        <w:lastRenderedPageBreak/>
        <w:t>группе, ориентация на партнера, работа в команде. Самый высокий процент сформированности данных умений (свыше 70%) показали  68% обучающихся (11 чел).</w:t>
      </w:r>
      <w:r w:rsidR="003D4F65">
        <w:rPr>
          <w:rFonts w:ascii="Times New Roman" w:hAnsi="Times New Roman" w:cs="Times New Roman"/>
          <w:sz w:val="28"/>
          <w:szCs w:val="28"/>
        </w:rPr>
        <w:t xml:space="preserve"> 31% обучающихся показали  в данной группе умений от 50</w:t>
      </w:r>
      <w:r w:rsidR="00680033">
        <w:rPr>
          <w:rFonts w:ascii="Times New Roman" w:hAnsi="Times New Roman" w:cs="Times New Roman"/>
          <w:sz w:val="28"/>
          <w:szCs w:val="28"/>
        </w:rPr>
        <w:t xml:space="preserve"> </w:t>
      </w:r>
      <w:r w:rsidR="003D4F65">
        <w:rPr>
          <w:rFonts w:ascii="Times New Roman" w:hAnsi="Times New Roman" w:cs="Times New Roman"/>
          <w:sz w:val="28"/>
          <w:szCs w:val="28"/>
        </w:rPr>
        <w:t xml:space="preserve">до 70%. Можно сделать вывод, что коммуникативные умения  формируются </w:t>
      </w:r>
      <w:r w:rsidR="00680033">
        <w:rPr>
          <w:rFonts w:ascii="Times New Roman" w:hAnsi="Times New Roman" w:cs="Times New Roman"/>
          <w:sz w:val="28"/>
          <w:szCs w:val="28"/>
        </w:rPr>
        <w:t>более успешно, чем регулятивные. Это может быть связано с тем, что эти аспекты деятельности</w:t>
      </w:r>
      <w:r w:rsidR="00DB18F1">
        <w:rPr>
          <w:rFonts w:ascii="Times New Roman" w:hAnsi="Times New Roman" w:cs="Times New Roman"/>
          <w:sz w:val="28"/>
          <w:szCs w:val="28"/>
        </w:rPr>
        <w:t xml:space="preserve"> регулятивных умений</w:t>
      </w:r>
      <w:r w:rsidR="00680033">
        <w:rPr>
          <w:rFonts w:ascii="Times New Roman" w:hAnsi="Times New Roman" w:cs="Times New Roman"/>
          <w:sz w:val="28"/>
          <w:szCs w:val="28"/>
        </w:rPr>
        <w:t xml:space="preserve"> часто остаются «за взрослыми», дети их не присваивают.</w:t>
      </w:r>
    </w:p>
    <w:p w:rsidR="003D4F65" w:rsidRDefault="00477DDF" w:rsidP="0052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выполнения заданий по группам умений обучающихся по АООП (ЗПР)</w:t>
      </w:r>
    </w:p>
    <w:p w:rsidR="00FE48D6" w:rsidRDefault="00477DDF" w:rsidP="0052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25" cy="24003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48D6" w:rsidRDefault="00FE48D6" w:rsidP="00FE48D6">
      <w:pPr>
        <w:rPr>
          <w:rFonts w:ascii="Times New Roman" w:hAnsi="Times New Roman" w:cs="Times New Roman"/>
          <w:sz w:val="28"/>
          <w:szCs w:val="28"/>
        </w:rPr>
      </w:pPr>
    </w:p>
    <w:p w:rsidR="00477DDF" w:rsidRDefault="00FE48D6" w:rsidP="00FE48D6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выполнении диагностической работы «Групповой проект» принимали участие 5 обучающихся со статусом ОВЗ (ЗПР), что составляет 30% от общего количества обучающихся. Из диаграммы видно, что уровень сформированности коммуникативных умений  </w:t>
      </w:r>
      <w:r w:rsidR="00680033">
        <w:rPr>
          <w:rFonts w:ascii="Times New Roman" w:hAnsi="Times New Roman" w:cs="Times New Roman"/>
          <w:sz w:val="28"/>
          <w:szCs w:val="28"/>
        </w:rPr>
        <w:t>выше,</w:t>
      </w:r>
      <w:r>
        <w:rPr>
          <w:rFonts w:ascii="Times New Roman" w:hAnsi="Times New Roman" w:cs="Times New Roman"/>
          <w:sz w:val="28"/>
          <w:szCs w:val="28"/>
        </w:rPr>
        <w:t xml:space="preserve"> чем регулятивных умений.</w:t>
      </w:r>
      <w:r w:rsidR="00680033">
        <w:rPr>
          <w:rFonts w:ascii="Times New Roman" w:hAnsi="Times New Roman" w:cs="Times New Roman"/>
          <w:sz w:val="28"/>
          <w:szCs w:val="28"/>
        </w:rPr>
        <w:t xml:space="preserve"> Из данной категории </w:t>
      </w:r>
      <w:proofErr w:type="gramStart"/>
      <w:r w:rsidR="006800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80033">
        <w:rPr>
          <w:rFonts w:ascii="Times New Roman" w:hAnsi="Times New Roman" w:cs="Times New Roman"/>
          <w:sz w:val="28"/>
          <w:szCs w:val="28"/>
        </w:rPr>
        <w:t xml:space="preserve"> 1 ученик показал уровень «ниже базового». </w:t>
      </w:r>
    </w:p>
    <w:p w:rsidR="00680033" w:rsidRDefault="00680033" w:rsidP="00FE48D6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680033" w:rsidRDefault="00680033" w:rsidP="00680033">
      <w:pPr>
        <w:pStyle w:val="a6"/>
        <w:numPr>
          <w:ilvl w:val="0"/>
          <w:numId w:val="1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 начальной школы провести детальный анализ полученных данных, определить  траекторию  индивидуальной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показавшими низкий уровень освоения регулятивных и коммуникативных умений. </w:t>
      </w:r>
    </w:p>
    <w:p w:rsidR="00680033" w:rsidRDefault="00680033" w:rsidP="00680033">
      <w:pPr>
        <w:pStyle w:val="a6"/>
        <w:numPr>
          <w:ilvl w:val="0"/>
          <w:numId w:val="1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B18F1">
        <w:rPr>
          <w:rFonts w:ascii="Times New Roman" w:hAnsi="Times New Roman" w:cs="Times New Roman"/>
          <w:sz w:val="28"/>
          <w:szCs w:val="28"/>
        </w:rPr>
        <w:t>корректировку  программ ВД (  Программы «Читаем, считаем, наблюдаем», «Финансовая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8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DB18F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DB18F1">
        <w:rPr>
          <w:rFonts w:ascii="Times New Roman" w:hAnsi="Times New Roman" w:cs="Times New Roman"/>
          <w:sz w:val="28"/>
          <w:szCs w:val="28"/>
        </w:rPr>
        <w:t xml:space="preserve">) имеющие направленность на развитие </w:t>
      </w:r>
      <w:proofErr w:type="spellStart"/>
      <w:r w:rsidR="00DB18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B18F1">
        <w:rPr>
          <w:rFonts w:ascii="Times New Roman" w:hAnsi="Times New Roman" w:cs="Times New Roman"/>
          <w:sz w:val="28"/>
          <w:szCs w:val="28"/>
        </w:rPr>
        <w:t xml:space="preserve"> умений с учетом  выявленных «проблемных мест».</w:t>
      </w:r>
    </w:p>
    <w:p w:rsidR="00DB18F1" w:rsidRDefault="00DB18F1" w:rsidP="00680033">
      <w:pPr>
        <w:pStyle w:val="a6"/>
        <w:numPr>
          <w:ilvl w:val="0"/>
          <w:numId w:val="1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Классному руководителю подготовить материалы для проведения педагогического консилиума «преемственность 4-5 класс) с целью координации  и планирования педагогической деятельности на 2023-2024 учебный год по ликвидации пробелов в рамках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умений.</w:t>
      </w:r>
      <w:proofErr w:type="gramEnd"/>
    </w:p>
    <w:p w:rsidR="00DB18F1" w:rsidRDefault="00DB18F1" w:rsidP="00680033">
      <w:pPr>
        <w:pStyle w:val="a6"/>
        <w:numPr>
          <w:ilvl w:val="0"/>
          <w:numId w:val="1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начальной школы провести анализ программ курсов внеурочной деятельности, планов воспитательной работы с определением тем,  тематических разделов, на содержании которых можно 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умения.</w:t>
      </w:r>
    </w:p>
    <w:p w:rsidR="00DB18F1" w:rsidRDefault="00DB18F1" w:rsidP="00DB18F1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8F1" w:rsidRPr="00DB18F1" w:rsidRDefault="00DB18F1" w:rsidP="00DB18F1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Харламова О.Ю.</w:t>
      </w:r>
    </w:p>
    <w:sectPr w:rsidR="00DB18F1" w:rsidRPr="00DB18F1" w:rsidSect="00DB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A3651"/>
    <w:multiLevelType w:val="hybridMultilevel"/>
    <w:tmpl w:val="B288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7BA"/>
    <w:rsid w:val="002915A2"/>
    <w:rsid w:val="00353503"/>
    <w:rsid w:val="003D4F65"/>
    <w:rsid w:val="00477DDF"/>
    <w:rsid w:val="005217BA"/>
    <w:rsid w:val="005228C8"/>
    <w:rsid w:val="005E2139"/>
    <w:rsid w:val="00680033"/>
    <w:rsid w:val="00AA2A53"/>
    <w:rsid w:val="00C76177"/>
    <w:rsid w:val="00DB18F1"/>
    <w:rsid w:val="00EE5708"/>
    <w:rsid w:val="00FE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D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Регулятивные умения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20</c:v>
                </c:pt>
                <c:pt idx="2">
                  <c:v>30</c:v>
                </c:pt>
                <c:pt idx="3">
                  <c:v>70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Коммуникативные умения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62</c:v>
                </c:pt>
                <c:pt idx="2">
                  <c:v>62</c:v>
                </c:pt>
                <c:pt idx="3">
                  <c:v>75</c:v>
                </c:pt>
                <c:pt idx="4">
                  <c:v>87</c:v>
                </c:pt>
              </c:numCache>
            </c:numRef>
          </c:val>
        </c:ser>
        <c:axId val="34989184"/>
        <c:axId val="34990720"/>
      </c:barChart>
      <c:catAx>
        <c:axId val="34989184"/>
        <c:scaling>
          <c:orientation val="minMax"/>
        </c:scaling>
        <c:axPos val="l"/>
        <c:tickLblPos val="nextTo"/>
        <c:crossAx val="34990720"/>
        <c:crosses val="autoZero"/>
        <c:auto val="1"/>
        <c:lblAlgn val="ctr"/>
        <c:lblOffset val="100"/>
      </c:catAx>
      <c:valAx>
        <c:axId val="34990720"/>
        <c:scaling>
          <c:orientation val="minMax"/>
        </c:scaling>
        <c:axPos val="b"/>
        <c:majorGridlines/>
        <c:numFmt formatCode="General" sourceLinked="1"/>
        <c:tickLblPos val="nextTo"/>
        <c:crossAx val="34989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2023-04-20T08:57:00Z</dcterms:created>
  <dcterms:modified xsi:type="dcterms:W3CDTF">2023-04-21T05:41:00Z</dcterms:modified>
</cp:coreProperties>
</file>